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pacing w:before="542" w:beforeAutospacing="0" w:after="360" w:afterAutospacing="0"/>
        <w:ind w:left="720" w:right="720"/>
        <w:jc w:val="center"/>
        <w:rPr>
          <w:rFonts w:ascii="小标宋体" w:hAnsi="小标宋体" w:eastAsia="小标宋体" w:cs="小标宋体"/>
          <w:sz w:val="42"/>
          <w:szCs w:val="42"/>
        </w:rPr>
      </w:pPr>
      <w:r>
        <w:rPr>
          <w:rFonts w:hint="default" w:ascii="小标宋体" w:hAnsi="小标宋体" w:eastAsia="小标宋体" w:cs="小标宋体"/>
          <w:sz w:val="42"/>
          <w:szCs w:val="42"/>
          <w:bdr w:val="none" w:color="auto" w:sz="0" w:space="0"/>
          <w:shd w:val="clear" w:fill="FFFFFF"/>
        </w:rPr>
        <w:t>关于开设《秦岭生态文明教育》通识教育课程的通知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各有关学院（系）：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根据《西北农林科技大学大学生生态文明教育实施方案》（见附件1），在我校成功举办八期“秦岭生态文明教育”活动的基础上，为进一步探索通识教育课程教学的新途径和新方式，我校拟于2020年暑期开设第九期《秦岭生态文明教育》通识教育课程，现就有关事宜通知如下：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一、教学组织与管理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《秦岭生态文明教育》通识课程教学活动由人文社会发展学院组织实施，相关单位工作由教务处协调，各院系积极参与并做好学生的遴选推荐工作。教学期间师生的交通费、住宿费及参观费等由学校统一支出，伙食费自理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二、教学活动时间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2020年8月31日—2020年9月6日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三、学生选课要求及名单确定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2019级经、管、文、法、艺术类、理工非农专业在校生均可自愿报名参加，本次教学活动共招收80名学员，有意参加者请于8月21日前到学生所在院系教学办公室报名，各院系于8月24日前将按照推荐先后顺序排列的学生名单报名表（报名表见附件2）报至人文社会发展学院综合办公室。根据各院系推荐学生情况，人文社会发展学院确定最终选课学生名单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四、授课方式与考核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《秦岭生态文明教育》通识课程教学采取专题教学、现场点评、社会调查、观看录像的方式进行（具体安排见附件3）。课程纳入学校公选课范畴，计1个学分；学生参加全程教学活动，考核合格者获得该学分。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联系人：王娜，联系电话：87091976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邮箱：632187055@qq.com  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2020年秦岭生态文明教育课程QQ群:307279469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各有关院系要高度重视，认真做好宣传动员、学生遴选推荐和安全教育工作，确保《秦岭生态文明教育》课程教学活动顺利进行。</w:t>
      </w:r>
    </w:p>
    <w:p>
      <w:pPr>
        <w:pStyle w:val="16"/>
        <w:keepNext w:val="0"/>
        <w:keepLines w:val="0"/>
        <w:widowControl/>
        <w:suppressLineNumbers w:val="0"/>
        <w:spacing w:before="120" w:beforeAutospacing="0" w:after="482" w:afterAutospacing="0"/>
        <w:ind w:left="720" w:right="720"/>
        <w:jc w:val="center"/>
      </w:pPr>
      <w:r>
        <w:rPr>
          <w:bdr w:val="none" w:color="auto" w:sz="0" w:space="0"/>
          <w:shd w:val="clear" w:fill="FFFFFF"/>
        </w:rPr>
        <w:t>教务处 人文社会发展学院</w:t>
      </w:r>
    </w:p>
    <w:p>
      <w:pPr>
        <w:pStyle w:val="17"/>
        <w:keepNext w:val="0"/>
        <w:keepLines w:val="0"/>
        <w:widowControl/>
        <w:suppressLineNumbers w:val="0"/>
        <w:spacing w:before="120" w:beforeAutospacing="0" w:after="482" w:afterAutospacing="0"/>
        <w:ind w:left="720" w:right="720"/>
        <w:jc w:val="center"/>
      </w:pPr>
      <w:r>
        <w:rPr>
          <w:bdr w:val="none" w:color="auto" w:sz="0" w:space="0"/>
          <w:shd w:val="clear" w:fill="FFFFFF"/>
        </w:rPr>
        <w:t>2020-08-10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D42A95"/>
    <w:rsid w:val="728B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240" w:beforeAutospacing="0" w:after="120" w:afterAutospacing="0" w:line="13" w:lineRule="atLeast"/>
      <w:ind w:left="0" w:right="0"/>
      <w:jc w:val="left"/>
    </w:pPr>
    <w:rPr>
      <w:rFonts w:hint="eastAsia" w:ascii="宋体" w:hAnsi="宋体" w:eastAsia="宋体" w:cs="宋体"/>
      <w:b/>
      <w:kern w:val="44"/>
      <w:sz w:val="43"/>
      <w:szCs w:val="43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0" w:after="12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000000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TML Definition"/>
    <w:basedOn w:val="5"/>
    <w:uiPriority w:val="0"/>
  </w:style>
  <w:style w:type="character" w:styleId="10">
    <w:name w:val="HTML Variable"/>
    <w:basedOn w:val="5"/>
    <w:uiPriority w:val="0"/>
  </w:style>
  <w:style w:type="character" w:styleId="11">
    <w:name w:val="Hyperlink"/>
    <w:basedOn w:val="5"/>
    <w:uiPriority w:val="0"/>
    <w:rPr>
      <w:color w:val="000000"/>
      <w:u w:val="none"/>
    </w:rPr>
  </w:style>
  <w:style w:type="character" w:styleId="12">
    <w:name w:val="HTML Code"/>
    <w:basedOn w:val="5"/>
    <w:uiPriority w:val="0"/>
    <w:rPr>
      <w:rFonts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3">
    <w:name w:val="HTML Cite"/>
    <w:basedOn w:val="5"/>
    <w:uiPriority w:val="0"/>
  </w:style>
  <w:style w:type="character" w:styleId="14">
    <w:name w:val="HTML Keyboard"/>
    <w:basedOn w:val="5"/>
    <w:uiPriority w:val="0"/>
    <w:rPr>
      <w:rFonts w:hint="default" w:ascii="Consolas" w:hAnsi="Consolas" w:eastAsia="Consolas" w:cs="Consolas"/>
      <w:color w:val="FFFFFF"/>
      <w:sz w:val="21"/>
      <w:szCs w:val="21"/>
      <w:bdr w:val="single" w:color="CCCCCC" w:sz="4" w:space="0"/>
      <w:shd w:val="clear" w:fill="333333"/>
    </w:rPr>
  </w:style>
  <w:style w:type="character" w:styleId="15">
    <w:name w:val="HTML Sample"/>
    <w:basedOn w:val="5"/>
    <w:uiPriority w:val="0"/>
    <w:rPr>
      <w:rFonts w:hint="default" w:ascii="Consolas" w:hAnsi="Consolas" w:eastAsia="Consolas" w:cs="Consolas"/>
      <w:sz w:val="21"/>
      <w:szCs w:val="21"/>
    </w:rPr>
  </w:style>
  <w:style w:type="paragraph" w:customStyle="1" w:styleId="16">
    <w:name w:val="zuozhe"/>
    <w:basedOn w:val="1"/>
    <w:uiPriority w:val="0"/>
    <w:pPr>
      <w:spacing w:before="360" w:beforeAutospacing="0"/>
      <w:ind w:left="6000"/>
      <w:jc w:val="left"/>
    </w:pPr>
    <w:rPr>
      <w:rFonts w:ascii="微软雅黑" w:hAnsi="微软雅黑" w:eastAsia="微软雅黑" w:cs="微软雅黑"/>
      <w:kern w:val="0"/>
      <w:sz w:val="19"/>
      <w:szCs w:val="19"/>
      <w:lang w:val="en-US" w:eastAsia="zh-CN" w:bidi="ar"/>
    </w:rPr>
  </w:style>
  <w:style w:type="paragraph" w:customStyle="1" w:styleId="17">
    <w:name w:val="zuozhewujianju"/>
    <w:basedOn w:val="1"/>
    <w:uiPriority w:val="0"/>
    <w:pPr>
      <w:ind w:left="6000"/>
      <w:jc w:val="left"/>
    </w:pPr>
    <w:rPr>
      <w:rFonts w:hint="eastAsia" w:ascii="微软雅黑" w:hAnsi="微软雅黑" w:eastAsia="微软雅黑" w:cs="微软雅黑"/>
      <w:kern w:val="0"/>
      <w:sz w:val="19"/>
      <w:szCs w:val="19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2020-08-14T02:56:35Z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