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676" w:beforeAutospacing="0" w:after="450" w:afterAutospacing="0"/>
        <w:ind w:left="900" w:right="90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关于举办2020“凤岗法学”模拟法庭大赛的通知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各学院（系）及广大学生：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为了提高学生的实践技能，增强法治意识，强化法治思维，提高团队合作意识，实现以赛促学，学校现举办第二届“凤岗法学”模拟法庭大赛。本次大赛由人文社会发展学院承办，现将有关事宜通知如下：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一、参赛对象及形式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法学专业的学生及非法学专业法律爱好学生均可报名参加。初赛应以个人形式报名参加，决赛由初赛优秀者组建团队参加。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二、竞赛内容及安排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本次竞赛分为初赛和决赛两个阶段进行。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（一）初赛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初赛以基本的法律常识为内容，采用闭卷方式，满分100分。拟定于11月1日之前集中在学校教室举行，具体时间及地点后续在官方模拟法庭学科竞赛QQ交流群通知。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（二）决赛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根据初赛分数从高到低选拔组建四个团队进行模拟法庭决赛。由大赛组委会提供案卷，每个团队根据提供的案卷独立撰写法律文书、模拟法庭开庭审理、案卷归档。评委根据各团队模拟法庭开庭情况和案卷归档情况评出获奖团队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模拟法庭决赛拟定于12月4日之前举行，具体时间地点后续另行通知。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三、报名时间及方式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（一）初赛报名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自本通知发布之日起截止10月28日，参赛学生请登录学校教务处实践教学与质量工程综合管理平台 （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"http://shjk.nwafu.edu.cn/nwsuaf/" </w:instrTex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11"/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t>http://shjk.nwafu.edu.cn/nwsuaf/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），进入学科竞赛管理子系统，在“2020‘凤岗法学’模拟法庭大赛”项目中进行报名，同时填写报名表并在系统中提交。完成报名后，请加入模拟法庭学科竞赛QQ交流群（群号：1002934634）。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（二）决赛报名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初赛评选出的优胜者自行组队，以团队形式报名，团队需指定一名队长，团队成员人数根据模拟法庭角色数量而定。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四、奖励设置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大赛设个人奖和团体奖若干名。学校为获奖者颁发证书并奖品鼓励，同时，根据《西北农林科技大学本科生创新创业与素质教育学分管理办法》记入创新创业与素质教育学分。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联系人：时倩颖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联系电话：17760890612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</w:p>
    <w:p>
      <w:pPr>
        <w:pStyle w:val="16"/>
        <w:keepNext w:val="0"/>
        <w:keepLines w:val="0"/>
        <w:widowControl/>
        <w:suppressLineNumbers w:val="0"/>
        <w:spacing w:before="150" w:beforeAutospacing="0" w:after="602" w:afterAutospacing="0"/>
        <w:ind w:left="900" w:right="900"/>
        <w:jc w:val="center"/>
      </w:pPr>
      <w:r>
        <w:rPr>
          <w:bdr w:val="none" w:color="auto" w:sz="0" w:space="0"/>
          <w:shd w:val="clear" w:fill="FFFFFF"/>
        </w:rPr>
        <w:t>教务处 人文社会发展学院</w:t>
      </w:r>
    </w:p>
    <w:p>
      <w:pPr>
        <w:pStyle w:val="17"/>
        <w:keepNext w:val="0"/>
        <w:keepLines w:val="0"/>
        <w:widowControl/>
        <w:suppressLineNumbers w:val="0"/>
        <w:spacing w:before="150" w:beforeAutospacing="0" w:after="602" w:afterAutospacing="0"/>
        <w:ind w:left="900" w:right="900"/>
        <w:jc w:val="center"/>
      </w:pPr>
      <w:r>
        <w:rPr>
          <w:bdr w:val="none" w:color="auto" w:sz="0" w:space="0"/>
          <w:shd w:val="clear" w:fill="FFFFFF"/>
        </w:rPr>
        <w:t>2020-10-15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A3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00" w:beforeAutospacing="0" w:after="150" w:afterAutospacing="0" w:line="17" w:lineRule="atLeast"/>
      <w:ind w:left="0" w:right="0"/>
      <w:jc w:val="left"/>
    </w:pPr>
    <w:rPr>
      <w:rFonts w:hint="eastAsia" w:ascii="宋体" w:hAnsi="宋体" w:eastAsia="宋体" w:cs="宋体"/>
      <w:b/>
      <w:kern w:val="44"/>
      <w:sz w:val="54"/>
      <w:szCs w:val="5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450" w:beforeAutospacing="0"/>
      <w:ind w:left="7500"/>
      <w:jc w:val="left"/>
    </w:pPr>
    <w:rPr>
      <w:rFonts w:ascii="微软雅黑" w:hAnsi="微软雅黑" w:eastAsia="微软雅黑" w:cs="微软雅黑"/>
      <w:kern w:val="0"/>
      <w:sz w:val="24"/>
      <w:szCs w:val="24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7500"/>
      <w:jc w:val="left"/>
    </w:pPr>
    <w:rPr>
      <w:rFonts w:hint="eastAsia" w:ascii="微软雅黑" w:hAnsi="微软雅黑" w:eastAsia="微软雅黑" w:cs="微软雅黑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2020-10-16T06:35:25Z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