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49F" w:rsidRPr="00AA258A" w:rsidRDefault="00B7049F" w:rsidP="00AA258A">
      <w:pPr>
        <w:rPr>
          <w:rFonts w:ascii="黑体" w:eastAsia="黑体" w:hAnsi="黑体" w:cs="黑体"/>
          <w:sz w:val="28"/>
          <w:szCs w:val="28"/>
        </w:rPr>
      </w:pPr>
    </w:p>
    <w:p w:rsidR="00B7049F" w:rsidRPr="00AA258A" w:rsidRDefault="00E73EF7" w:rsidP="00930CC8">
      <w:pPr>
        <w:spacing w:afterLines="100" w:after="312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AA258A">
        <w:rPr>
          <w:rFonts w:ascii="黑体" w:eastAsia="黑体" w:hAnsi="黑体" w:cs="黑体" w:hint="eastAsia"/>
          <w:b/>
          <w:bCs/>
          <w:sz w:val="32"/>
          <w:szCs w:val="32"/>
        </w:rPr>
        <w:t>教学设计打分表</w:t>
      </w:r>
    </w:p>
    <w:tbl>
      <w:tblPr>
        <w:tblW w:w="9068" w:type="dxa"/>
        <w:tblLayout w:type="fixed"/>
        <w:tblLook w:val="04A0" w:firstRow="1" w:lastRow="0" w:firstColumn="1" w:lastColumn="0" w:noHBand="0" w:noVBand="1"/>
      </w:tblPr>
      <w:tblGrid>
        <w:gridCol w:w="1000"/>
        <w:gridCol w:w="7027"/>
        <w:gridCol w:w="528"/>
        <w:gridCol w:w="513"/>
      </w:tblGrid>
      <w:tr w:rsidR="00B7049F" w:rsidTr="003E20F9">
        <w:trPr>
          <w:trHeight w:val="1332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评</w:t>
            </w:r>
            <w:r>
              <w:rPr>
                <w:rFonts w:ascii="仿宋_GB2312" w:eastAsia="仿宋_GB2312" w:hAnsi="Times New Roman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价</w:t>
            </w:r>
            <w:r>
              <w:rPr>
                <w:rFonts w:ascii="仿宋_GB2312" w:eastAsia="仿宋_GB2312" w:hAnsi="Times New Roman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内</w:t>
            </w:r>
            <w:r>
              <w:rPr>
                <w:rFonts w:ascii="仿宋_GB2312" w:eastAsia="仿宋_GB2312" w:hAnsi="Times New Roman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容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-16"/>
                <w:kern w:val="0"/>
                <w:sz w:val="24"/>
              </w:rPr>
              <w:t>分值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-16"/>
                <w:kern w:val="0"/>
                <w:sz w:val="24"/>
              </w:rPr>
              <w:t>得分</w:t>
            </w:r>
          </w:p>
        </w:tc>
      </w:tr>
      <w:tr w:rsidR="00B7049F" w:rsidTr="003E20F9">
        <w:trPr>
          <w:trHeight w:val="19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学情</w:t>
            </w:r>
          </w:p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分析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针对学生实际，从知识基础和学生需求进行分析，分析符合学生年龄、心理特点；了解学生有关知识储备和生活经验。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B7049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B7049F" w:rsidTr="003E20F9">
        <w:trPr>
          <w:trHeight w:val="133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理念</w:t>
            </w:r>
          </w:p>
          <w:p w:rsidR="00B7049F" w:rsidRDefault="00E73EF7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与目标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有明确的教学理念，且符合课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改目标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>要求；目标符合课程标准，能体现三维目标，并具有可操作性。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B7049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B7049F" w:rsidTr="003E20F9">
        <w:trPr>
          <w:trHeight w:val="19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内容</w:t>
            </w:r>
          </w:p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与方法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根据学科特点，准确列出知识点、重点、难点等；教学设计明确主要的教法、学法；突出重点、破解难点的方法科学有效。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B7049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B7049F" w:rsidTr="003E20F9">
        <w:trPr>
          <w:trHeight w:val="1332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方式</w:t>
            </w:r>
          </w:p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与手段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明确教具或媒体的运用方式；媒体使用有利于突破重点、难点和关键问题；板书简明、精要、重点突出，布局合理。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B7049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B7049F" w:rsidTr="003E20F9">
        <w:trPr>
          <w:trHeight w:val="19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作业</w:t>
            </w:r>
          </w:p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与反馈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练习作业形式多样，份量与难度适中；有层次，选做与必做结合，课内与课外结合，注意发展学科实践活动课程。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B7049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B7049F" w:rsidTr="003E20F9">
        <w:trPr>
          <w:trHeight w:val="1397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研讨</w:t>
            </w:r>
          </w:p>
          <w:p w:rsidR="00B7049F" w:rsidRDefault="00E73EF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与反思</w:t>
            </w:r>
          </w:p>
        </w:tc>
        <w:tc>
          <w:tcPr>
            <w:tcW w:w="7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能提出教学问题与同行开展研讨交流；对自己的教学进行总结反思，写出教学后记、反思小结或自我点评。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E73EF7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9F" w:rsidRDefault="00B7049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</w:tbl>
    <w:p w:rsidR="00B7049F" w:rsidRDefault="00E73EF7" w:rsidP="00B95158">
      <w:pPr>
        <w:spacing w:beforeLines="50" w:before="156"/>
        <w:ind w:firstLineChars="200" w:firstLine="640"/>
      </w:pPr>
      <w:r>
        <w:rPr>
          <w:rFonts w:ascii="Times New Roman" w:eastAsia="仿宋" w:hAnsi="仿宋"/>
          <w:sz w:val="32"/>
          <w:szCs w:val="32"/>
        </w:rPr>
        <w:t xml:space="preserve"> </w:t>
      </w:r>
      <w:bookmarkStart w:id="0" w:name="_GoBack"/>
      <w:bookmarkEnd w:id="0"/>
    </w:p>
    <w:sectPr w:rsidR="00B7049F" w:rsidSect="00B70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4D1" w:rsidRDefault="007914D1" w:rsidP="00AA258A">
      <w:r>
        <w:separator/>
      </w:r>
    </w:p>
  </w:endnote>
  <w:endnote w:type="continuationSeparator" w:id="0">
    <w:p w:rsidR="007914D1" w:rsidRDefault="007914D1" w:rsidP="00AA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4D1" w:rsidRDefault="007914D1" w:rsidP="00AA258A">
      <w:r>
        <w:separator/>
      </w:r>
    </w:p>
  </w:footnote>
  <w:footnote w:type="continuationSeparator" w:id="0">
    <w:p w:rsidR="007914D1" w:rsidRDefault="007914D1" w:rsidP="00AA2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8F5"/>
    <w:rsid w:val="003C18F5"/>
    <w:rsid w:val="003E20F9"/>
    <w:rsid w:val="007914D1"/>
    <w:rsid w:val="00930CC8"/>
    <w:rsid w:val="00A10477"/>
    <w:rsid w:val="00AA258A"/>
    <w:rsid w:val="00B3472A"/>
    <w:rsid w:val="00B7049F"/>
    <w:rsid w:val="00B94CAC"/>
    <w:rsid w:val="00B95158"/>
    <w:rsid w:val="00CB5BE5"/>
    <w:rsid w:val="00E73EF7"/>
    <w:rsid w:val="00F04BC4"/>
    <w:rsid w:val="00FC74C2"/>
    <w:rsid w:val="1B6F3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4F45D9-1AD9-451C-8FF2-9AA67D7A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049F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258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2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258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赵长江</dc:creator>
  <cp:lastModifiedBy>柴田</cp:lastModifiedBy>
  <cp:revision>7</cp:revision>
  <cp:lastPrinted>2017-11-28T02:10:00Z</cp:lastPrinted>
  <dcterms:created xsi:type="dcterms:W3CDTF">2017-11-28T00:52:00Z</dcterms:created>
  <dcterms:modified xsi:type="dcterms:W3CDTF">2019-09-17T07:04:00Z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